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D78F" w14:textId="68DCF8F5" w:rsidR="004E7083" w:rsidRDefault="004E7083">
      <w:r>
        <w:t>Link:</w:t>
      </w:r>
      <w:r w:rsidRPr="004E7083">
        <w:t xml:space="preserve"> </w:t>
      </w:r>
      <w:hyperlink r:id="rId4" w:history="1">
        <w:r w:rsidRPr="005B7AEB">
          <w:rPr>
            <w:rStyle w:val="Hyperlink"/>
          </w:rPr>
          <w:t>https://onlinelibrary.wiley.com/doi/10.1002/jpn3.70061</w:t>
        </w:r>
      </w:hyperlink>
    </w:p>
    <w:p w14:paraId="6C9928EC" w14:textId="77777777" w:rsidR="004E7083" w:rsidRDefault="004E7083"/>
    <w:p w14:paraId="50E301D2" w14:textId="77777777" w:rsidR="004E7083" w:rsidRPr="004E7083" w:rsidRDefault="004E7083" w:rsidP="004E70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32114835" wp14:editId="5C0BE0CF">
            <wp:extent cx="6572250" cy="752475"/>
            <wp:effectExtent l="0" t="0" r="0" b="9525"/>
            <wp:docPr id="3" name="journal-banner-image" descr="Journal of Pediatric Gastroenterology and Nutrition">
              <a:hlinkClick xmlns:a="http://schemas.openxmlformats.org/drawingml/2006/main" r:id="rId5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5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9B439" w14:textId="77777777" w:rsidR="004E7083" w:rsidRPr="004E7083" w:rsidRDefault="004E7083" w:rsidP="004E70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6813CDDD" w14:textId="77777777" w:rsidR="004E7083" w:rsidRPr="004E7083" w:rsidRDefault="004E7083" w:rsidP="004E70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4E708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 xml:space="preserve">Adverse events are lower in </w:t>
      </w:r>
      <w:proofErr w:type="spellStart"/>
      <w:r w:rsidRPr="004E708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unsedated</w:t>
      </w:r>
      <w:proofErr w:type="spellEnd"/>
      <w:r w:rsidRPr="004E708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 xml:space="preserve"> </w:t>
      </w:r>
      <w:proofErr w:type="spellStart"/>
      <w:r w:rsidRPr="004E708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transnasal</w:t>
      </w:r>
      <w:proofErr w:type="spellEnd"/>
      <w:r w:rsidRPr="004E708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 xml:space="preserve"> esophagoscopy versus sedated esophagogastroduodenoscopy</w:t>
      </w:r>
    </w:p>
    <w:p w14:paraId="5ACD8B59" w14:textId="77777777" w:rsidR="004E7083" w:rsidRPr="004E7083" w:rsidRDefault="004E7083" w:rsidP="004E70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7" w:history="1">
        <w:proofErr w:type="spellStart"/>
        <w:r w:rsidRPr="004E7083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Yeshai</w:t>
        </w:r>
        <w:proofErr w:type="spellEnd"/>
        <w:r w:rsidRPr="004E7083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 T. Dollin</w:t>
        </w:r>
      </w:hyperlink>
      <w:r w:rsidRPr="004E7083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4E7083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Jacob A. Mark</w:t>
        </w:r>
      </w:hyperlink>
      <w:r w:rsidRPr="004E7083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4E7083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Rachel Andrews</w:t>
        </w:r>
      </w:hyperlink>
      <w:r w:rsidRPr="004E7083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begin"/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instrText>HYPERLINK "https://onlinelibrary.wiley.com/authored-by/Pan/Zhaoxing"</w:instrText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separate"/>
      </w:r>
      <w:r w:rsidRPr="004E7083">
        <w:rPr>
          <w:rFonts w:ascii="Open Sans" w:eastAsia="Times New Roman" w:hAnsi="Open Sans" w:cs="Open Sans"/>
          <w:color w:val="123D80"/>
          <w:kern w:val="0"/>
          <w:sz w:val="21"/>
          <w:szCs w:val="21"/>
          <w:u w:val="single"/>
          <w:bdr w:val="none" w:sz="0" w:space="0" w:color="auto" w:frame="1"/>
          <w:lang w:eastAsia="en-GB"/>
          <w14:ligatures w14:val="none"/>
        </w:rPr>
        <w:t>Zhaoxing</w:t>
      </w:r>
      <w:proofErr w:type="spellEnd"/>
      <w:r w:rsidRPr="004E7083">
        <w:rPr>
          <w:rFonts w:ascii="Open Sans" w:eastAsia="Times New Roman" w:hAnsi="Open Sans" w:cs="Open Sans"/>
          <w:color w:val="123D80"/>
          <w:kern w:val="0"/>
          <w:sz w:val="21"/>
          <w:szCs w:val="21"/>
          <w:u w:val="single"/>
          <w:bdr w:val="none" w:sz="0" w:space="0" w:color="auto" w:frame="1"/>
          <w:lang w:eastAsia="en-GB"/>
          <w14:ligatures w14:val="none"/>
        </w:rPr>
        <w:t xml:space="preserve"> Pan</w:t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end"/>
      </w:r>
      <w:r w:rsidRPr="004E7083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4E7083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Courtney Ort</w:t>
        </w:r>
      </w:hyperlink>
      <w:r w:rsidRPr="004E7083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4E7083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Robert E. Kramer</w:t>
        </w:r>
      </w:hyperlink>
      <w:r w:rsidRPr="004E7083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4E7083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Nathalie Nguyen</w:t>
        </w:r>
      </w:hyperlink>
    </w:p>
    <w:p w14:paraId="1A67BD09" w14:textId="77777777" w:rsidR="004E7083" w:rsidRPr="004E7083" w:rsidRDefault="004E7083" w:rsidP="004E70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4E708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04 May 2025</w:t>
      </w:r>
    </w:p>
    <w:p w14:paraId="18CBC4BC" w14:textId="77777777" w:rsidR="004E7083" w:rsidRPr="004E7083" w:rsidRDefault="004E7083" w:rsidP="004E70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5C471831" w14:textId="77777777" w:rsidR="004E7083" w:rsidRPr="004E7083" w:rsidRDefault="004E7083" w:rsidP="004E70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3" w:history="1">
        <w:r w:rsidRPr="004E7083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https://doi.org/10.1002/jpn3.70061</w:t>
        </w:r>
      </w:hyperlink>
    </w:p>
    <w:p w14:paraId="2E77FCF9" w14:textId="77777777" w:rsidR="004E7083" w:rsidRPr="004E7083" w:rsidRDefault="004E7083" w:rsidP="004E708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</w:pPr>
      <w:proofErr w:type="spellStart"/>
      <w:r w:rsidRPr="004E7083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>Yeshai</w:t>
      </w:r>
      <w:proofErr w:type="spellEnd"/>
      <w:r w:rsidRPr="004E7083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 xml:space="preserve"> T. Dollin and Jacob A. Mark contributed equally to this study and co-first authors.</w:t>
      </w:r>
    </w:p>
    <w:p w14:paraId="4C30A8E2" w14:textId="77777777" w:rsidR="004E7083" w:rsidRPr="004E7083" w:rsidRDefault="004E7083" w:rsidP="004E70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4" w:history="1">
        <w:r w:rsidRPr="004E7083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4E7083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43EE0B67" w14:textId="77777777" w:rsidR="004E7083" w:rsidRPr="004E7083" w:rsidRDefault="004E7083" w:rsidP="004E708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1E3845DD" w14:textId="77777777" w:rsidR="004E7083" w:rsidRPr="004E7083" w:rsidRDefault="004E7083" w:rsidP="004E708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6FDCE1C9" w14:textId="77777777" w:rsidR="004E7083" w:rsidRPr="004E7083" w:rsidRDefault="004E7083" w:rsidP="004E708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Unsedated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transnasal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esophagoscopy (TNE) is an innovative and minimally invasive technique becoming more commonplace in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gastroenterology. The advantages include no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anesthesia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decreased cost, and less time away from work and school. There is no published data evaluating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postprocedure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adverse events (AE) with TNE. The aim of this study was to evaluate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postprocedure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AE associated with TNE compared to sedated esophagogastroduodenoscopy (EGD).</w:t>
      </w:r>
    </w:p>
    <w:p w14:paraId="07CEC632" w14:textId="77777777" w:rsidR="004E7083" w:rsidRPr="004E7083" w:rsidRDefault="004E7083" w:rsidP="004E708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22962E7A" w14:textId="77777777" w:rsidR="004E7083" w:rsidRPr="004E7083" w:rsidRDefault="004E7083" w:rsidP="004E708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AE data were prospectively collected for patients ages 5–22 years who underwent endoscopy at a tertiary children's hospital between January 2015 and June 2022. Demographic data and procedural factors were collected, and AE were categorized using a standardized scoring system.</w:t>
      </w:r>
    </w:p>
    <w:p w14:paraId="7681CEA4" w14:textId="77777777" w:rsidR="004E7083" w:rsidRPr="004E7083" w:rsidRDefault="004E7083" w:rsidP="004E708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lastRenderedPageBreak/>
        <w:t>Results</w:t>
      </w:r>
    </w:p>
    <w:p w14:paraId="6CE15EFD" w14:textId="77777777" w:rsidR="004E7083" w:rsidRPr="004E7083" w:rsidRDefault="004E7083" w:rsidP="004E708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 total of 10,023 diagnostic EGD's on 7786 patients and 927 TNE's on 492 patients were performed. The total number of AE (Grade I–IV) observed were 196 after EGD and 1 after TNE. The total AE rate for EGD's was significantly higher than for TNE's (1.96% vs. 0.11%, </w:t>
      </w:r>
      <w:r w:rsidRPr="004E7083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&lt; 0.0001). The clinically significant AE (Grade II or higher) for EGD's was higher than TNE's (0.67% vs. 0%, </w:t>
      </w:r>
      <w:r w:rsidRPr="004E7083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0.006). In controlling for eosinophilic esophagitis (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EoE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) as the indication, the total AE and the clinically significant AE for EGD's were higher than TNE's ([1.87% vs. 0.12% </w:t>
      </w:r>
      <w:r w:rsidRPr="004E7083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&lt; 0.001], [0.75% vs. 0% </w:t>
      </w:r>
      <w:r w:rsidRPr="004E7083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0.01]).</w:t>
      </w:r>
    </w:p>
    <w:p w14:paraId="1D060207" w14:textId="77777777" w:rsidR="004E7083" w:rsidRPr="004E7083" w:rsidRDefault="004E7083" w:rsidP="004E708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0A889299" w14:textId="77777777" w:rsidR="004E7083" w:rsidRPr="004E7083" w:rsidRDefault="004E7083" w:rsidP="004E708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The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postprocedure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AE rate for TNE was lower than EGD both for overall and clinically significant AE. This suggests TNE is a safer approach for monitoring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esophageal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pathology than sedated EGD for patients who can undergo TNE.</w:t>
      </w:r>
    </w:p>
    <w:p w14:paraId="346CB912" w14:textId="77777777" w:rsidR="004E7083" w:rsidRPr="004E7083" w:rsidRDefault="004E7083" w:rsidP="004E7083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4A04B7F0" w14:textId="77777777" w:rsidR="004E7083" w:rsidRPr="004E7083" w:rsidRDefault="004E7083" w:rsidP="004E708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Robert E. Kramer has served as a consultant for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EvoEndo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Inc. Nathalie Nguyen has served as a consultant for Regeneron/Sanofi and </w:t>
      </w:r>
      <w:proofErr w:type="spellStart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EvoEndo</w:t>
      </w:r>
      <w:proofErr w:type="spellEnd"/>
      <w:r w:rsidRPr="004E708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, Inc. The remaining authors declare no conflicts of interest.</w:t>
      </w:r>
    </w:p>
    <w:p w14:paraId="1BD7C098" w14:textId="77777777" w:rsidR="004E7083" w:rsidRDefault="004E7083"/>
    <w:sectPr w:rsidR="004E7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83"/>
    <w:rsid w:val="00020686"/>
    <w:rsid w:val="004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6712"/>
  <w15:chartTrackingRefBased/>
  <w15:docId w15:val="{D822F7B6-8444-4C99-844B-7928C8BE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0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2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6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6592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5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Mark/Jacob+A." TargetMode="External"/><Relationship Id="rId13" Type="http://schemas.openxmlformats.org/officeDocument/2006/relationships/hyperlink" Target="https://doi.org/10.1002/jpn3.700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authored-by/Dollin/Yeshai+T." TargetMode="External"/><Relationship Id="rId12" Type="http://schemas.openxmlformats.org/officeDocument/2006/relationships/hyperlink" Target="https://onlinelibrary.wiley.com/authored-by/Nguyen/Nathali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Kramer/Robert+E." TargetMode="External"/><Relationship Id="rId5" Type="http://schemas.openxmlformats.org/officeDocument/2006/relationships/hyperlink" Target="https://onlinelibrary.wiley.com/journal/153648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nlinelibrary.wiley.com/authored-by/Ort/Courtney" TargetMode="External"/><Relationship Id="rId4" Type="http://schemas.openxmlformats.org/officeDocument/2006/relationships/hyperlink" Target="https://onlinelibrary.wiley.com/doi/10.1002/jpn3.70061" TargetMode="External"/><Relationship Id="rId9" Type="http://schemas.openxmlformats.org/officeDocument/2006/relationships/hyperlink" Target="https://onlinelibrary.wiley.com/authored-by/Andrews/Rachel" TargetMode="External"/><Relationship Id="rId14" Type="http://schemas.openxmlformats.org/officeDocument/2006/relationships/hyperlink" Target="https://onlinelibrary.wiley.com/doi/full/10.1002/jpn3.70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1</cp:revision>
  <dcterms:created xsi:type="dcterms:W3CDTF">2025-06-01T22:32:00Z</dcterms:created>
  <dcterms:modified xsi:type="dcterms:W3CDTF">2025-06-01T22:33:00Z</dcterms:modified>
</cp:coreProperties>
</file>