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7F8C" w14:textId="04E2B54C" w:rsidR="005F4CF7" w:rsidRDefault="005F4CF7" w:rsidP="00737E38">
      <w:r>
        <w:t>Link</w:t>
      </w:r>
      <w:r w:rsidR="00737E38">
        <w:t>:</w:t>
      </w:r>
      <w:r w:rsidR="00737E38" w:rsidRPr="00737E38">
        <w:t xml:space="preserve"> </w:t>
      </w:r>
      <w:r w:rsidR="00737E38" w:rsidRPr="00737E38">
        <w:t>https://onlinelibrary.wiley.com/doi/full/10.1002/jpn3.70028</w:t>
      </w:r>
    </w:p>
    <w:p w14:paraId="4788C9F0" w14:textId="77777777" w:rsidR="00737E38" w:rsidRDefault="00737E38" w:rsidP="00737E38"/>
    <w:p w14:paraId="18F83EC9" w14:textId="77777777" w:rsidR="00737E38" w:rsidRPr="00737E38" w:rsidRDefault="00737E38" w:rsidP="00737E3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noProof/>
          <w:color w:val="0000FF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8B33707" wp14:editId="2E52BEC4">
            <wp:extent cx="6572250" cy="752475"/>
            <wp:effectExtent l="0" t="0" r="0" b="9525"/>
            <wp:docPr id="1" name="Picture 2" descr="Journal of Pediatric Gastroenterology and Nutrition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rnal of Pediatric Gastroenterology and Nutrition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59EC" w14:textId="77777777" w:rsidR="00737E38" w:rsidRPr="00737E38" w:rsidRDefault="00737E38" w:rsidP="00737E3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77BF6F59" w14:textId="77777777" w:rsidR="00737E38" w:rsidRPr="00737E38" w:rsidRDefault="00737E38" w:rsidP="00737E3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737E38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Vitamin D status in children undergoing allogeneic hematopoietic stem cell transplantation: A prospective exploratory study</w:t>
      </w:r>
    </w:p>
    <w:p w14:paraId="061FA784" w14:textId="77777777" w:rsidR="00737E38" w:rsidRPr="00737E38" w:rsidRDefault="00737E38" w:rsidP="00737E3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7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Janne Anita Kvammen</w:t>
        </w:r>
      </w:hyperlink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Rut Anne Thomassen</w:t>
        </w:r>
      </w:hyperlink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Jochen Buechner</w:t>
        </w:r>
      </w:hyperlink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Tor Åge Myklebust</w:t>
        </w:r>
      </w:hyperlink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Per </w:t>
        </w:r>
        <w:proofErr w:type="spellStart"/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Medbøe</w:t>
        </w:r>
        <w:proofErr w:type="spellEnd"/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 Thorsby</w:t>
        </w:r>
      </w:hyperlink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Jens Bollerslev</w:t>
        </w:r>
      </w:hyperlink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737E38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Beint Sigmund Bentsen</w:t>
        </w:r>
      </w:hyperlink>
      <w:hyperlink r:id="rId14" w:history="1">
        <w:r w:rsidRPr="00737E38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 </w:t>
        </w:r>
        <w:r w:rsidRPr="00737E38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lang w:eastAsia="en-GB"/>
            <w14:ligatures w14:val="none"/>
          </w:rPr>
          <w:t>…</w:t>
        </w:r>
        <w:r w:rsidRPr="00737E38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 See all authors </w:t>
        </w:r>
      </w:hyperlink>
    </w:p>
    <w:p w14:paraId="076A21F0" w14:textId="77777777" w:rsidR="00737E38" w:rsidRPr="00737E38" w:rsidRDefault="00737E38" w:rsidP="00737E3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First published: 24 March 2025</w:t>
      </w:r>
    </w:p>
    <w:p w14:paraId="0DA4A365" w14:textId="77777777" w:rsidR="00737E38" w:rsidRPr="00737E38" w:rsidRDefault="00737E38" w:rsidP="00737E3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001D1DCE" w14:textId="77777777" w:rsidR="00737E38" w:rsidRPr="00737E38" w:rsidRDefault="00737E38" w:rsidP="00737E3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5" w:history="1">
        <w:r w:rsidRPr="00737E38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https://doi.org/10.1002/jpn3.70028</w:t>
        </w:r>
      </w:hyperlink>
    </w:p>
    <w:p w14:paraId="4565EEFD" w14:textId="77777777" w:rsidR="00737E38" w:rsidRPr="00737E38" w:rsidRDefault="00737E38" w:rsidP="00737E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  <w:t>Abstract</w:t>
      </w:r>
    </w:p>
    <w:p w14:paraId="728E3374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5458D749" w14:textId="77777777" w:rsidR="00737E38" w:rsidRPr="00737E38" w:rsidRDefault="00737E38" w:rsidP="00737E3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Allogeneic hematopoietic stem cell transplantation (HSCT) is associated with nutritional risks. This study describes vitamin D status and intake in children undergoing HSCT and compares results to healthy children.</w:t>
      </w:r>
    </w:p>
    <w:p w14:paraId="6F47E5F5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344DCB0F" w14:textId="77777777" w:rsidR="00737E38" w:rsidRPr="00737E38" w:rsidRDefault="00737E38" w:rsidP="00737E3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In a prospective observational study, vitamin 25(OH)D and 1,25(OH)</w:t>
      </w:r>
      <w:r w:rsidRPr="00737E38">
        <w:rPr>
          <w:rFonts w:ascii="Open Sans" w:eastAsia="Times New Roman" w:hAnsi="Open Sans" w:cs="Open Sans"/>
          <w:color w:val="1C1D1E"/>
          <w:kern w:val="0"/>
          <w:sz w:val="18"/>
          <w:szCs w:val="18"/>
          <w:vertAlign w:val="subscript"/>
          <w:lang w:eastAsia="en-GB"/>
          <w14:ligatures w14:val="none"/>
        </w:rPr>
        <w:t>2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D were assessed at hospital admission before HSCT (baseline), at 3-month and 1-year post-transplant. Vitamin D deficiency was defined as 25(OH)D &lt; 50 nmol/L. A 4-day diet record assessed vitamin D intake at 3-months and 1-year. Healthy children were assessed once.</w:t>
      </w:r>
    </w:p>
    <w:p w14:paraId="2773DD63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2300D7C3" w14:textId="77777777" w:rsidR="00737E38" w:rsidRPr="00737E38" w:rsidRDefault="00737E38" w:rsidP="00737E3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Twenty-eight HSCT patients (mean age: 10.3-years, standard deviation [SD]: 4.0) and 50 healthy children (mean age: 10.0-years, SD: 3.6) were included. Vitamin D deficiency was more prevalent in patients at baseline (36%, </w:t>
      </w:r>
      <w:r w:rsidRPr="00737E38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&lt; 0.001) and 3-months (24%, </w:t>
      </w:r>
      <w:r w:rsidRPr="00737E38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= 0.007) but not at 1-year (14%, </w:t>
      </w:r>
      <w:r w:rsidRPr="00737E38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= 0.084) than in healthy children (2%). Median 1,25(OH)</w:t>
      </w:r>
      <w:r w:rsidRPr="00737E38">
        <w:rPr>
          <w:rFonts w:ascii="Open Sans" w:eastAsia="Times New Roman" w:hAnsi="Open Sans" w:cs="Open Sans"/>
          <w:color w:val="1C1D1E"/>
          <w:kern w:val="0"/>
          <w:sz w:val="18"/>
          <w:szCs w:val="18"/>
          <w:vertAlign w:val="subscript"/>
          <w:lang w:eastAsia="en-GB"/>
          <w14:ligatures w14:val="none"/>
        </w:rPr>
        <w:t>2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D was significantly 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lastRenderedPageBreak/>
        <w:t>lower than in healthy children at the two first visits (</w:t>
      </w:r>
      <w:r w:rsidRPr="00737E38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&lt; 0.001) but not at 1-year (</w:t>
      </w:r>
      <w:r w:rsidRPr="00737E38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= 0.198). Median vitamin D provision was higher at 3-months (18.1 µg/day) and 1-year (25 µg/day) compared to healthy children (5.3 µg/day, </w:t>
      </w:r>
      <w:r w:rsidRPr="00737E38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&lt; 0.001).</w:t>
      </w:r>
    </w:p>
    <w:p w14:paraId="7262218A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39AD92D6" w14:textId="77777777" w:rsidR="00737E38" w:rsidRPr="00737E38" w:rsidRDefault="00737E38" w:rsidP="00737E3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Children undergoing HSCT were at a high risk of vitamin D deficiency at baseline and 3-month post-transplant, but not at 1-year compared to healthy children. Vitamin D intake was higher after transplantation than in healthy children. These findings indicate that vitamin D requirements are elevated in HSCT patients, emphasizing the need for monitoring and adequate supplementation.</w:t>
      </w:r>
    </w:p>
    <w:p w14:paraId="52E6DE34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Trial Registration</w:t>
      </w:r>
    </w:p>
    <w:p w14:paraId="7DE74F26" w14:textId="77777777" w:rsidR="00737E38" w:rsidRPr="00737E38" w:rsidRDefault="00737E38" w:rsidP="00737E3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Clinical Trials AEV2017/1. 2016/391/REK </w:t>
      </w:r>
      <w:proofErr w:type="spellStart"/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sør-øst</w:t>
      </w:r>
      <w:proofErr w:type="spellEnd"/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B.</w:t>
      </w:r>
    </w:p>
    <w:p w14:paraId="2DD451FA" w14:textId="77777777" w:rsidR="00737E38" w:rsidRPr="00737E38" w:rsidRDefault="00737E38" w:rsidP="00737E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  <w:t>Highlights</w:t>
      </w:r>
    </w:p>
    <w:p w14:paraId="4559B052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What is Known</w:t>
      </w:r>
    </w:p>
    <w:p w14:paraId="1CCE2517" w14:textId="77777777" w:rsidR="00737E38" w:rsidRPr="00737E38" w:rsidRDefault="00737E38" w:rsidP="00737E38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Children undergoing allogeneic hematopoietic stem cell transplantation (HSCT) are at nutritional risk.</w:t>
      </w:r>
    </w:p>
    <w:p w14:paraId="2B719B07" w14:textId="77777777" w:rsidR="00737E38" w:rsidRPr="00737E38" w:rsidRDefault="00737E38" w:rsidP="00737E38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Vitamin D might impact HSCT outcomes.</w:t>
      </w:r>
    </w:p>
    <w:p w14:paraId="405533CF" w14:textId="77777777" w:rsidR="00737E38" w:rsidRPr="00737E38" w:rsidRDefault="00737E38" w:rsidP="00737E3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What is New</w:t>
      </w:r>
    </w:p>
    <w:p w14:paraId="1FB164FE" w14:textId="77777777" w:rsidR="00737E38" w:rsidRPr="00737E38" w:rsidRDefault="00737E38" w:rsidP="00737E38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Children undergoing HSCT were at risk of vitamin D deficiency at baseline and 3-months post-transplant, but not at 1-year compared to healthy children.</w:t>
      </w:r>
    </w:p>
    <w:p w14:paraId="737C211D" w14:textId="77777777" w:rsidR="00737E38" w:rsidRPr="00737E38" w:rsidRDefault="00737E38" w:rsidP="00737E38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After the transplantation, patients had higher vitamin D intakes than healthy children.</w:t>
      </w:r>
    </w:p>
    <w:p w14:paraId="7C0F4241" w14:textId="77777777" w:rsidR="00737E38" w:rsidRPr="00737E38" w:rsidRDefault="00737E38" w:rsidP="00737E38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Patients had lower 1,25(OH)</w:t>
      </w:r>
      <w:r w:rsidRPr="00737E38">
        <w:rPr>
          <w:rFonts w:ascii="Open Sans" w:eastAsia="Times New Roman" w:hAnsi="Open Sans" w:cs="Open Sans"/>
          <w:color w:val="1C1D1E"/>
          <w:kern w:val="0"/>
          <w:sz w:val="18"/>
          <w:szCs w:val="18"/>
          <w:vertAlign w:val="subscript"/>
          <w:lang w:eastAsia="en-GB"/>
          <w14:ligatures w14:val="none"/>
        </w:rPr>
        <w:t>2</w:t>
      </w: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D at baseline and 3-months, but at 1-year post-transplant, results were </w:t>
      </w:r>
      <w:proofErr w:type="gramStart"/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similar to</w:t>
      </w:r>
      <w:proofErr w:type="gramEnd"/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healthy children.</w:t>
      </w:r>
    </w:p>
    <w:p w14:paraId="706DA707" w14:textId="77777777" w:rsidR="00737E38" w:rsidRPr="00737E38" w:rsidRDefault="00737E38" w:rsidP="00737E38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Findings indicate that vitamin D requirements are elevated in HSCT patients, emphasizing the need for monitoring and adequate supplementation before and after transplantation.</w:t>
      </w:r>
    </w:p>
    <w:p w14:paraId="39ADBBA4" w14:textId="77777777" w:rsidR="00737E38" w:rsidRPr="00737E38" w:rsidRDefault="00737E38" w:rsidP="00737E38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59046568" w14:textId="77777777" w:rsidR="00737E38" w:rsidRPr="00737E38" w:rsidRDefault="00737E38" w:rsidP="00737E3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737E3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5A720701" w14:textId="77777777" w:rsidR="00737E38" w:rsidRPr="005F4CF7" w:rsidRDefault="00737E38" w:rsidP="00737E38">
      <w:pPr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</w:p>
    <w:p w14:paraId="64370FEE" w14:textId="77777777" w:rsidR="005F4CF7" w:rsidRDefault="005F4CF7"/>
    <w:sectPr w:rsidR="005F4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24D"/>
    <w:multiLevelType w:val="multilevel"/>
    <w:tmpl w:val="300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F6A37"/>
    <w:multiLevelType w:val="multilevel"/>
    <w:tmpl w:val="1F8A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C41FD"/>
    <w:multiLevelType w:val="multilevel"/>
    <w:tmpl w:val="A25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4272C"/>
    <w:multiLevelType w:val="multilevel"/>
    <w:tmpl w:val="031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210AF"/>
    <w:multiLevelType w:val="multilevel"/>
    <w:tmpl w:val="7B0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4276C"/>
    <w:multiLevelType w:val="multilevel"/>
    <w:tmpl w:val="47F8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2540C"/>
    <w:multiLevelType w:val="multilevel"/>
    <w:tmpl w:val="1DA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F4E5B"/>
    <w:multiLevelType w:val="multilevel"/>
    <w:tmpl w:val="756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20F92"/>
    <w:multiLevelType w:val="multilevel"/>
    <w:tmpl w:val="1CC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D70C4"/>
    <w:multiLevelType w:val="multilevel"/>
    <w:tmpl w:val="D3D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45877">
    <w:abstractNumId w:val="7"/>
  </w:num>
  <w:num w:numId="2" w16cid:durableId="1487163399">
    <w:abstractNumId w:val="1"/>
  </w:num>
  <w:num w:numId="3" w16cid:durableId="179205536">
    <w:abstractNumId w:val="3"/>
  </w:num>
  <w:num w:numId="4" w16cid:durableId="1408072409">
    <w:abstractNumId w:val="9"/>
  </w:num>
  <w:num w:numId="5" w16cid:durableId="1661272718">
    <w:abstractNumId w:val="0"/>
  </w:num>
  <w:num w:numId="6" w16cid:durableId="1142041483">
    <w:abstractNumId w:val="5"/>
  </w:num>
  <w:num w:numId="7" w16cid:durableId="1663578978">
    <w:abstractNumId w:val="8"/>
  </w:num>
  <w:num w:numId="8" w16cid:durableId="1430664159">
    <w:abstractNumId w:val="4"/>
  </w:num>
  <w:num w:numId="9" w16cid:durableId="1770468566">
    <w:abstractNumId w:val="6"/>
  </w:num>
  <w:num w:numId="10" w16cid:durableId="35037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F7"/>
    <w:rsid w:val="00063AA9"/>
    <w:rsid w:val="005F4CF7"/>
    <w:rsid w:val="007116EE"/>
    <w:rsid w:val="0073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DB3D"/>
  <w15:chartTrackingRefBased/>
  <w15:docId w15:val="{54960B27-880F-4A31-A2BE-EB9DDDB2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7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220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8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59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1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9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3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5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7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7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98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0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7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6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8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7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1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6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53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8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41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45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Thomassen/Rut+Anne" TargetMode="External"/><Relationship Id="rId13" Type="http://schemas.openxmlformats.org/officeDocument/2006/relationships/hyperlink" Target="https://onlinelibrary.wiley.com/authored-by/Bentsen/Beint+Sigm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authored-by/Kvammen/Janne+Anita" TargetMode="External"/><Relationship Id="rId12" Type="http://schemas.openxmlformats.org/officeDocument/2006/relationships/hyperlink" Target="https://onlinelibrary.wiley.com/authored-by/Bollerslev/Je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Thorsby/Per+Medb%C3%B8e" TargetMode="External"/><Relationship Id="rId5" Type="http://schemas.openxmlformats.org/officeDocument/2006/relationships/hyperlink" Target="https://onlinelibrary.wiley.com/journal/15364801" TargetMode="External"/><Relationship Id="rId15" Type="http://schemas.openxmlformats.org/officeDocument/2006/relationships/hyperlink" Target="https://doi.org/10.1002/jpn3.70028" TargetMode="External"/><Relationship Id="rId10" Type="http://schemas.openxmlformats.org/officeDocument/2006/relationships/hyperlink" Target="https://onlinelibrary.wiley.com/authored-by/Myklebust/Tor+%C3%85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Buechner/Jochen" TargetMode="External"/><Relationship Id="rId14" Type="http://schemas.openxmlformats.org/officeDocument/2006/relationships/hyperlink" Target="https://onlinelibrary.wiley.com/doi/full/10.1002/jpn3.7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2025-04-01T09:38:00Z</dcterms:created>
  <dcterms:modified xsi:type="dcterms:W3CDTF">2025-04-01T09:38:00Z</dcterms:modified>
</cp:coreProperties>
</file>