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59EB" w14:textId="7BA8BFDC" w:rsidR="00844F73" w:rsidRDefault="00844F73" w:rsidP="002A7853">
      <w:r>
        <w:t xml:space="preserve">Link: </w:t>
      </w:r>
      <w:r w:rsidR="002A7853" w:rsidRPr="002A7853">
        <w:t>https://onlinelibrary.wiley.com/doi/10.1002/jpn3.12464</w:t>
      </w:r>
    </w:p>
    <w:p w14:paraId="64DB3816" w14:textId="77777777" w:rsidR="002A7853" w:rsidRDefault="002A7853" w:rsidP="002A7853"/>
    <w:p w14:paraId="69DFE5E0" w14:textId="77777777" w:rsidR="002A7853" w:rsidRPr="002A7853" w:rsidRDefault="002A7853" w:rsidP="002A785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noProof/>
          <w:color w:val="0000FF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684FC5E4" wp14:editId="5767A028">
            <wp:extent cx="6572250" cy="752475"/>
            <wp:effectExtent l="0" t="0" r="0" b="9525"/>
            <wp:docPr id="1" name="journal-banner-image" descr="Journal of Pediatric Gastroenterology and Nutrition">
              <a:hlinkClick xmlns:a="http://schemas.openxmlformats.org/drawingml/2006/main" r:id="rId4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4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2B95C" w14:textId="77777777" w:rsidR="002A7853" w:rsidRPr="002A7853" w:rsidRDefault="002A7853" w:rsidP="002A785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2B0DE959" w14:textId="77777777" w:rsidR="002A7853" w:rsidRPr="002A7853" w:rsidRDefault="002A7853" w:rsidP="002A78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2A7853">
        <w:rPr>
          <w:rFonts w:ascii="Open Sans" w:eastAsia="Times New Roman" w:hAnsi="Open Sans" w:cs="Open Sans"/>
          <w:b/>
          <w:bCs/>
          <w:i/>
          <w:iCs/>
          <w:color w:val="1C1D1E"/>
          <w:kern w:val="36"/>
          <w:sz w:val="48"/>
          <w:szCs w:val="48"/>
          <w:lang w:val="en" w:eastAsia="en-GB"/>
          <w14:ligatures w14:val="none"/>
        </w:rPr>
        <w:t>Helicobacter pylori</w:t>
      </w:r>
      <w:r w:rsidRPr="002A7853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 infection is associated with significant elevations to fecal calprotectin, systemic inflammatory markers</w:t>
      </w:r>
    </w:p>
    <w:p w14:paraId="4FBDB686" w14:textId="77777777" w:rsidR="002A7853" w:rsidRPr="002A7853" w:rsidRDefault="002A7853" w:rsidP="002A785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6" w:history="1">
        <w:r w:rsidRPr="002A785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Priscila Villalba-Davila</w:t>
        </w:r>
      </w:hyperlink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7" w:history="1">
        <w:r w:rsidRPr="002A785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Stephanie Aronson</w:t>
        </w:r>
      </w:hyperlink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2A785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Jessica Lat</w:t>
        </w:r>
      </w:hyperlink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2A785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Cassandra Charles</w:t>
        </w:r>
      </w:hyperlink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2A785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Bryce Schroeder</w:t>
        </w:r>
      </w:hyperlink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1" w:history="1">
        <w:r w:rsidRPr="002A785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Meredith Pittman</w:t>
        </w:r>
      </w:hyperlink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2" w:history="1">
        <w:r w:rsidRPr="002A785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Vivian Tang</w:t>
        </w:r>
      </w:hyperlink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3" w:history="1">
        <w:r w:rsidRPr="002A7853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Thomas Wallach</w:t>
        </w:r>
      </w:hyperlink>
    </w:p>
    <w:p w14:paraId="3C101F8D" w14:textId="77777777" w:rsidR="002A7853" w:rsidRPr="002A7853" w:rsidRDefault="002A7853" w:rsidP="002A785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First published: 20 January 2025</w:t>
      </w:r>
    </w:p>
    <w:p w14:paraId="51973B24" w14:textId="77777777" w:rsidR="002A7853" w:rsidRPr="002A7853" w:rsidRDefault="002A7853" w:rsidP="002A785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 </w:t>
      </w:r>
    </w:p>
    <w:p w14:paraId="31C4A287" w14:textId="77777777" w:rsidR="002A7853" w:rsidRPr="002A7853" w:rsidRDefault="002A7853" w:rsidP="002A785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hyperlink r:id="rId14" w:history="1">
        <w:r w:rsidRPr="002A7853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https://doi.org/10.1002/jpn3.12464</w:t>
        </w:r>
      </w:hyperlink>
    </w:p>
    <w:p w14:paraId="601BDCB7" w14:textId="77777777" w:rsidR="002A7853" w:rsidRPr="002A7853" w:rsidRDefault="002A7853" w:rsidP="002A785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C1D1E"/>
          <w:kern w:val="0"/>
          <w:sz w:val="27"/>
          <w:szCs w:val="27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b/>
          <w:bCs/>
          <w:color w:val="1C1D1E"/>
          <w:kern w:val="0"/>
          <w:sz w:val="27"/>
          <w:szCs w:val="27"/>
          <w:lang w:eastAsia="en-GB"/>
          <w14:ligatures w14:val="none"/>
        </w:rPr>
        <w:t>Abstract</w:t>
      </w:r>
    </w:p>
    <w:p w14:paraId="27EF4A60" w14:textId="77777777" w:rsidR="002A7853" w:rsidRPr="002A7853" w:rsidRDefault="002A7853" w:rsidP="002A785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Objectives</w:t>
      </w:r>
    </w:p>
    <w:p w14:paraId="2204FBF3" w14:textId="77777777" w:rsidR="002A7853" w:rsidRPr="002A7853" w:rsidRDefault="002A7853" w:rsidP="002A785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proofErr w:type="spellStart"/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Fecal</w:t>
      </w:r>
      <w:proofErr w:type="spellEnd"/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 calprotectin (FC) is a marker commonly used in the diagnosis and follow-up of inflammatory bowel diseases (IBD). However, other gastrointestinal conditions, like </w:t>
      </w:r>
      <w:r w:rsidRPr="002A7853">
        <w:rPr>
          <w:rFonts w:ascii="Open Sans" w:eastAsia="Times New Roman" w:hAnsi="Open Sans" w:cs="Open Sans"/>
          <w:i/>
          <w:iCs/>
          <w:color w:val="1C1D1E"/>
          <w:kern w:val="0"/>
          <w:sz w:val="21"/>
          <w:szCs w:val="21"/>
          <w:lang w:eastAsia="en-GB"/>
          <w14:ligatures w14:val="none"/>
        </w:rPr>
        <w:t>H. pylori</w:t>
      </w: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 (HP) infection, can result in increased neutrophil activity as well. We set out to assess the impact of HP infection on FC and downstream gastrointestinal care via a retrospective study.</w:t>
      </w:r>
    </w:p>
    <w:p w14:paraId="34426029" w14:textId="77777777" w:rsidR="002A7853" w:rsidRPr="002A7853" w:rsidRDefault="002A7853" w:rsidP="002A785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716FD849" w14:textId="77777777" w:rsidR="002A7853" w:rsidRPr="002A7853" w:rsidRDefault="002A7853" w:rsidP="002A785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In this study, we collected data from two institutions in Brooklyn, NY, in a high immigrant density community. We reviewed data from patients who underwent esophagogastroduodenoscopy (EGD) between January 2017 and October 2022. Patients aged 6–18 years old with an FC level 6 months prior to EGD and HP testing were included.</w:t>
      </w:r>
    </w:p>
    <w:p w14:paraId="6AC96F17" w14:textId="77777777" w:rsidR="002A7853" w:rsidRPr="002A7853" w:rsidRDefault="002A7853" w:rsidP="002A785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4CB7A7E3" w14:textId="77777777" w:rsidR="002A7853" w:rsidRPr="002A7853" w:rsidRDefault="002A7853" w:rsidP="002A785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 xml:space="preserve">Of 129 patients, 37 (28.7%) tested positive for HP infection. The mean FC level was significantly elevated in HP-positive patients (241.2, confidence interval [CI]: 161.0–321.3) as </w:t>
      </w: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lastRenderedPageBreak/>
        <w:t>compared with HP-negative patients (88.1, CI: 59.1–117.0) (</w:t>
      </w:r>
      <w:r w:rsidRPr="002A7853">
        <w:rPr>
          <w:rFonts w:ascii="Open Sans" w:eastAsia="Times New Roman" w:hAnsi="Open Sans" w:cs="Open Sans"/>
          <w:i/>
          <w:iCs/>
          <w:color w:val="1C1D1E"/>
          <w:kern w:val="0"/>
          <w:sz w:val="21"/>
          <w:szCs w:val="21"/>
          <w:lang w:eastAsia="en-GB"/>
          <w14:ligatures w14:val="none"/>
        </w:rPr>
        <w:t>p</w:t>
      </w: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 &lt; 0.001). Patients with higher FC levels were also more likely to undergo colonoscopies (</w:t>
      </w:r>
      <w:r w:rsidRPr="002A7853">
        <w:rPr>
          <w:rFonts w:ascii="Open Sans" w:eastAsia="Times New Roman" w:hAnsi="Open Sans" w:cs="Open Sans"/>
          <w:i/>
          <w:iCs/>
          <w:color w:val="1C1D1E"/>
          <w:kern w:val="0"/>
          <w:sz w:val="21"/>
          <w:szCs w:val="21"/>
          <w:lang w:eastAsia="en-GB"/>
          <w14:ligatures w14:val="none"/>
        </w:rPr>
        <w:t>p</w:t>
      </w: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 = 0.003).</w:t>
      </w:r>
    </w:p>
    <w:p w14:paraId="3CB083E9" w14:textId="77777777" w:rsidR="002A7853" w:rsidRPr="002A7853" w:rsidRDefault="002A7853" w:rsidP="002A7853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Discussion</w:t>
      </w:r>
    </w:p>
    <w:p w14:paraId="5AC15051" w14:textId="77777777" w:rsidR="002A7853" w:rsidRPr="002A7853" w:rsidRDefault="002A7853" w:rsidP="002A785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HP infection is associated with increased calprotectin, and calprotectin increases in HP patients are associated with an increased risk of colonoscopy.</w:t>
      </w:r>
    </w:p>
    <w:p w14:paraId="453328FD" w14:textId="77777777" w:rsidR="002A7853" w:rsidRPr="002A7853" w:rsidRDefault="002A7853" w:rsidP="002A785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C1D1E"/>
          <w:kern w:val="0"/>
          <w:sz w:val="27"/>
          <w:szCs w:val="27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b/>
          <w:bCs/>
          <w:color w:val="1C1D1E"/>
          <w:kern w:val="0"/>
          <w:sz w:val="27"/>
          <w:szCs w:val="27"/>
          <w:lang w:eastAsia="en-GB"/>
          <w14:ligatures w14:val="none"/>
        </w:rPr>
        <w:t>Graphical Abstract</w:t>
      </w:r>
    </w:p>
    <w:p w14:paraId="56B84B86" w14:textId="77777777" w:rsidR="002A7853" w:rsidRPr="002A7853" w:rsidRDefault="002A7853" w:rsidP="002A785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noProof/>
          <w:color w:val="0000FF"/>
          <w:kern w:val="0"/>
          <w:sz w:val="21"/>
          <w:szCs w:val="21"/>
          <w:lang w:eastAsia="en-GB"/>
          <w14:ligatures w14:val="none"/>
        </w:rPr>
        <mc:AlternateContent>
          <mc:Choice Requires="wps">
            <w:drawing>
              <wp:inline distT="0" distB="0" distL="0" distR="0" wp14:anchorId="25CD9C54" wp14:editId="5BF313F6">
                <wp:extent cx="304800" cy="304800"/>
                <wp:effectExtent l="0" t="0" r="0" b="0"/>
                <wp:docPr id="624392380" name="AutoShape 3" descr="Description unavailable">
                  <a:hlinkClick xmlns:a="http://schemas.openxmlformats.org/drawingml/2006/main" r:id="rId1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54706" id="AutoShape 3" o:spid="_x0000_s1026" alt="Description unavailable" href="https://onlinelibrary.wiley.com/cms/asset/de13c8c2-c222-442f-b5d8-362867cec4a0/jpn312464-gra-0001-m.jp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73636CF" w14:textId="77777777" w:rsidR="002A7853" w:rsidRPr="002A7853" w:rsidRDefault="002A7853" w:rsidP="002A7853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1C1D1E"/>
          <w:kern w:val="0"/>
          <w:sz w:val="39"/>
          <w:szCs w:val="39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b/>
          <w:bCs/>
          <w:color w:val="1C1D1E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75E188F3" w14:textId="77777777" w:rsidR="002A7853" w:rsidRPr="002A7853" w:rsidRDefault="002A7853" w:rsidP="002A7853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2A7853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The authors declare no conflicts of interest.</w:t>
      </w:r>
    </w:p>
    <w:p w14:paraId="29D919B2" w14:textId="77777777" w:rsidR="002A7853" w:rsidRPr="00844F73" w:rsidRDefault="002A7853" w:rsidP="002A7853">
      <w:pPr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</w:p>
    <w:p w14:paraId="475B9BF5" w14:textId="77777777" w:rsidR="00844F73" w:rsidRDefault="00844F73"/>
    <w:sectPr w:rsidR="00844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73"/>
    <w:rsid w:val="002A7853"/>
    <w:rsid w:val="00844F73"/>
    <w:rsid w:val="00D36DF9"/>
    <w:rsid w:val="00E0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5E99"/>
  <w15:chartTrackingRefBased/>
  <w15:docId w15:val="{8FDB3775-FC84-4842-A2EB-574CB2AA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44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07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Lat/Jessica" TargetMode="External"/><Relationship Id="rId13" Type="http://schemas.openxmlformats.org/officeDocument/2006/relationships/hyperlink" Target="https://onlinelibrary.wiley.com/authored-by/Wallach/Thom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authored-by/Aronson/Stephanie" TargetMode="External"/><Relationship Id="rId12" Type="http://schemas.openxmlformats.org/officeDocument/2006/relationships/hyperlink" Target="https://onlinelibrary.wiley.com/authored-by/Tang/Vivia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/authored-by/Villalba%E2%80%90Davila/Priscila" TargetMode="External"/><Relationship Id="rId11" Type="http://schemas.openxmlformats.org/officeDocument/2006/relationships/hyperlink" Target="https://onlinelibrary.wiley.com/authored-by/Pittman/Meredith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nlinelibrary.wiley.com/cms/asset/de13c8c2-c222-442f-b5d8-362867cec4a0/jpn312464-gra-0001-m.jpg" TargetMode="External"/><Relationship Id="rId10" Type="http://schemas.openxmlformats.org/officeDocument/2006/relationships/hyperlink" Target="https://onlinelibrary.wiley.com/authored-by/Schroeder/Bryce" TargetMode="External"/><Relationship Id="rId4" Type="http://schemas.openxmlformats.org/officeDocument/2006/relationships/hyperlink" Target="https://onlinelibrary.wiley.com/journal/15364801" TargetMode="External"/><Relationship Id="rId9" Type="http://schemas.openxmlformats.org/officeDocument/2006/relationships/hyperlink" Target="https://onlinelibrary.wiley.com/authored-by/Charles/Cassandra" TargetMode="External"/><Relationship Id="rId14" Type="http://schemas.openxmlformats.org/officeDocument/2006/relationships/hyperlink" Target="https://doi.org/10.1002/jpn3.12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2025-02-02T06:39:00Z</dcterms:created>
  <dcterms:modified xsi:type="dcterms:W3CDTF">2025-02-02T06:39:00Z</dcterms:modified>
</cp:coreProperties>
</file>