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67B0" w14:textId="3AC044EF" w:rsidR="00C5264A" w:rsidRDefault="007F66A6" w:rsidP="00CD3FB6">
      <w:r>
        <w:t>Link</w:t>
      </w:r>
      <w:r w:rsidR="00E32318">
        <w:t>:</w:t>
      </w:r>
      <w:r w:rsidR="00C5264A" w:rsidRPr="00C5264A">
        <w:t xml:space="preserve"> </w:t>
      </w:r>
      <w:r w:rsidR="00CB6546" w:rsidRPr="00CB6546">
        <w:t>https://onlinelibrary.wiley.com/doi/10.1111/nmo.70025</w:t>
      </w:r>
    </w:p>
    <w:p w14:paraId="0B0DB59D" w14:textId="77777777" w:rsidR="00CB6546" w:rsidRPr="00CB6546" w:rsidRDefault="00CB6546" w:rsidP="00CB654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68AD2C27" wp14:editId="5683BFC4">
            <wp:extent cx="4762500" cy="609600"/>
            <wp:effectExtent l="0" t="0" r="0" b="0"/>
            <wp:docPr id="1" name="journal-banner-image" descr="Neurogastroenterology &amp; Motility">
              <a:hlinkClick xmlns:a="http://schemas.openxmlformats.org/drawingml/2006/main" r:id="rId5" tooltip="&quot;Neurogastroenterology &amp; Motility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Neurogastroenterology &amp; Motility">
                      <a:hlinkClick r:id="rId5" tooltip="&quot;Neurogastroenterology &amp; Motility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CEBC7" w14:textId="77777777" w:rsidR="00CB6546" w:rsidRPr="00CB6546" w:rsidRDefault="00CB6546" w:rsidP="00CB654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2CEDFD6C" w14:textId="77777777" w:rsidR="00CB6546" w:rsidRPr="00CB6546" w:rsidRDefault="00CB6546" w:rsidP="00CB654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eastAsia="en-GB"/>
          <w14:ligatures w14:val="none"/>
        </w:rPr>
        <w:t xml:space="preserve">Intrarectal Injections of Botulinum Toxin for the Treatment of Urge </w:t>
      </w:r>
      <w:proofErr w:type="spellStart"/>
      <w:r w:rsidRPr="00CB6546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eastAsia="en-GB"/>
          <w14:ligatures w14:val="none"/>
        </w:rPr>
        <w:t>Fecal</w:t>
      </w:r>
      <w:proofErr w:type="spellEnd"/>
      <w:r w:rsidRPr="00CB6546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eastAsia="en-GB"/>
          <w14:ligatures w14:val="none"/>
        </w:rPr>
        <w:t xml:space="preserve"> Incontinence: Long-Term Results of an FI-Toxin Cohort Study</w:t>
      </w:r>
    </w:p>
    <w:p w14:paraId="411FE0B1" w14:textId="77777777" w:rsidR="00CB6546" w:rsidRPr="00CB6546" w:rsidRDefault="00CB6546" w:rsidP="00CB654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7" w:history="1"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Charlotte Desprez</w:t>
        </w:r>
      </w:hyperlink>
      <w:r w:rsidRPr="00CB6546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Charlène Brochard</w:t>
        </w:r>
      </w:hyperlink>
      <w:r w:rsidRPr="00CB6546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Véronique </w:t>
        </w:r>
        <w:proofErr w:type="spellStart"/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Vitton</w:t>
        </w:r>
        <w:proofErr w:type="spellEnd"/>
      </w:hyperlink>
      <w:r w:rsidRPr="00CB6546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Isabelle </w:t>
        </w:r>
        <w:proofErr w:type="spellStart"/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Etienney</w:t>
        </w:r>
        <w:proofErr w:type="spellEnd"/>
      </w:hyperlink>
      <w:r w:rsidRPr="00CB6546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Frank Zerbib</w:t>
        </w:r>
      </w:hyperlink>
      <w:r w:rsidRPr="00CB6546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Gérard </w:t>
        </w:r>
        <w:proofErr w:type="spellStart"/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Amarenco</w:t>
        </w:r>
        <w:proofErr w:type="spellEnd"/>
      </w:hyperlink>
      <w:r w:rsidRPr="00CB6546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Francois Mion</w:t>
        </w:r>
      </w:hyperlink>
      <w:r w:rsidRPr="00CB6546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4" w:history="1"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Michel </w:t>
        </w:r>
        <w:proofErr w:type="spellStart"/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Queralto</w:t>
        </w:r>
        <w:proofErr w:type="spellEnd"/>
      </w:hyperlink>
      <w:r w:rsidRPr="00CB6546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5" w:history="1"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Guillaume </w:t>
        </w:r>
        <w:proofErr w:type="spellStart"/>
        <w:r w:rsidRPr="00CB6546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Gourcerol</w:t>
        </w:r>
        <w:proofErr w:type="spellEnd"/>
      </w:hyperlink>
      <w:hyperlink r:id="rId16" w:history="1">
        <w:r w:rsidRPr="00CB6546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</w:t>
        </w:r>
        <w:r w:rsidRPr="00CB6546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…</w:t>
        </w:r>
        <w:r w:rsidRPr="00CB6546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See all authors </w:t>
        </w:r>
      </w:hyperlink>
    </w:p>
    <w:p w14:paraId="7EFBB293" w14:textId="77777777" w:rsidR="00CB6546" w:rsidRPr="00CB6546" w:rsidRDefault="00CB6546" w:rsidP="00CB654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CB6546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06 April 2025</w:t>
      </w:r>
    </w:p>
    <w:p w14:paraId="18FEAE29" w14:textId="77777777" w:rsidR="00CB6546" w:rsidRPr="00CB6546" w:rsidRDefault="00CB6546" w:rsidP="00CB654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7D6C1F00" w14:textId="77777777" w:rsidR="00CB6546" w:rsidRPr="00CB6546" w:rsidRDefault="00CB6546" w:rsidP="00CB654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17" w:history="1">
        <w:r w:rsidRPr="00CB6546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https://doi.org/10.1111/nmo.70025</w:t>
        </w:r>
      </w:hyperlink>
    </w:p>
    <w:p w14:paraId="37EE4779" w14:textId="77777777" w:rsidR="00CB6546" w:rsidRPr="00CB6546" w:rsidRDefault="00CB6546" w:rsidP="00CB654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b/>
          <w:bCs/>
          <w:color w:val="5A5A5A"/>
          <w:kern w:val="0"/>
          <w:sz w:val="21"/>
          <w:szCs w:val="21"/>
          <w:lang w:eastAsia="en-GB"/>
          <w14:ligatures w14:val="none"/>
        </w:rPr>
        <w:t>Funding:</w:t>
      </w:r>
      <w:r w:rsidRPr="00CB6546"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  <w:t> The authors received no specific funding for this work.</w:t>
      </w:r>
    </w:p>
    <w:p w14:paraId="4B38CC31" w14:textId="77777777" w:rsidR="00CB6546" w:rsidRPr="00CB6546" w:rsidRDefault="00CB6546" w:rsidP="00CB654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8" w:history="1">
        <w:r w:rsidRPr="00CB6546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Read the</w:t>
        </w:r>
        <w:r w:rsidRPr="00CB6546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7A54A120" w14:textId="77777777" w:rsidR="00CB6546" w:rsidRPr="00CB6546" w:rsidRDefault="00CB6546" w:rsidP="00CB654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1BB648CB" w14:textId="77777777" w:rsidR="00CB6546" w:rsidRPr="00CB6546" w:rsidRDefault="00CB6546" w:rsidP="00CB6546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Background</w:t>
      </w:r>
    </w:p>
    <w:p w14:paraId="3B134EDD" w14:textId="77777777" w:rsidR="00CB6546" w:rsidRPr="00CB6546" w:rsidRDefault="00CB6546" w:rsidP="00CB6546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The efficacy and safety of intrarectal botulinum toxin A (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BoNT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/A) injections in patients with urge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fecal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incontinence (FI) were evidenced in a large,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multicenter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randomized, placebo-controlled study (FI-TOXIN). The aims of the present study were to evaluate the long-term efficacy and safety of intrarectal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BoNT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/A injections in a real-world setting in patients who participated in the FI-TOXIN study.</w:t>
      </w:r>
    </w:p>
    <w:p w14:paraId="6EC55A2F" w14:textId="77777777" w:rsidR="00CB6546" w:rsidRPr="00CB6546" w:rsidRDefault="00CB6546" w:rsidP="00CB6546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2421BE7A" w14:textId="77777777" w:rsidR="00CB6546" w:rsidRPr="00CB6546" w:rsidRDefault="00CB6546" w:rsidP="00CB6546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Data collected from patients who had previously participated in the FI-TOXIN study in 8 French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centers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from November 2015 to November 2020 were retrospectively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analyzed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. Given the transient effect of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BoNT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/A, patients who had received the first injection in the FI-TOXIN study could be re-injected if symptoms recurred. Information on re-injections, satisfaction of patients, severity of FI symptoms, adverse effects, and the switch to another treatment was retrospectively collected from medical charts between M6 (end of the double-blind phase) and M54 of the inclusion in the FI-TOXIN study.</w:t>
      </w:r>
    </w:p>
    <w:p w14:paraId="3D951C79" w14:textId="77777777" w:rsidR="00CB6546" w:rsidRPr="00CB6546" w:rsidRDefault="00CB6546" w:rsidP="00CB6546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lastRenderedPageBreak/>
        <w:t>Key Results</w:t>
      </w:r>
    </w:p>
    <w:p w14:paraId="1C7212BE" w14:textId="77777777" w:rsidR="00CB6546" w:rsidRPr="00CB6546" w:rsidRDefault="00CB6546" w:rsidP="00CB6546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Of the 191 patients in the initial FI-TOXIN cohort, 147 (77.0%) were included at M6. Between M6 and M54, 114 of these patients received 233 injections (68 first injections, 165 re-injections). Satisfaction information was available for 70 patients, of whom 43/70 (61.4%) were satisfied with all their injections. The treatment failed in 52/147 (35.4%) of the patients, with rejections of the treatment by patients due to insufficient perceived efficacy (34 patients), adverse effects or poor tolerance (11 patients), or switch to a surgical treatment (23 patients).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Nonsevere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adverse events were recorded after 45/233 (19.3%) injections. The two severe adverse events (cervical cancer and psychiatric hospitalization) were unrelated to the treatment.</w:t>
      </w:r>
    </w:p>
    <w:p w14:paraId="5F45D31F" w14:textId="77777777" w:rsidR="00CB6546" w:rsidRPr="00CB6546" w:rsidRDefault="00CB6546" w:rsidP="00CB6546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Conclusions</w:t>
      </w:r>
    </w:p>
    <w:p w14:paraId="14C12CC6" w14:textId="77777777" w:rsidR="00CB6546" w:rsidRPr="00CB6546" w:rsidRDefault="00CB6546" w:rsidP="00CB6546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Intrarectal injections of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BoNT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/A displayed moderate long-term efficacy without major adverse effects.</w:t>
      </w:r>
    </w:p>
    <w:p w14:paraId="51DF599B" w14:textId="77777777" w:rsidR="00CB6546" w:rsidRPr="00CB6546" w:rsidRDefault="00CB6546" w:rsidP="00CB6546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Conflicts of Interest</w:t>
      </w:r>
    </w:p>
    <w:p w14:paraId="007D7990" w14:textId="77777777" w:rsidR="00CB6546" w:rsidRPr="00CB6546" w:rsidRDefault="00CB6546" w:rsidP="00CB6546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A.-M. Leroi is a consultant for Medtronic. F. Zerbib is a consultant for Coloplast. L.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Siproudhis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has received grants from Takeda, Janssen, and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Abbvie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is a consultant for Takeda, and has received grants for educational support from Takeda, Janssen, and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Abbvie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. G.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Amarenco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receives support for learning sessions from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Wellspect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honoraria for presentations from Laborie, Coloplast, and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Convatec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support for meetings with Coloplast and IPSEN, and sits on the advisory boards of Coloplast,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Convatec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and IBSA. F. Mion lectures for Laborie and Medtronic. Dr. Falk's spouse is employed by MSD. I.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Etienney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lectures for Takeda, MSD, and Viva Healthcare. A.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Gillibert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gives paid statistical courses to Gleamer (medical imaging enterprise). G.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Gourcerol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is a consultant for Kyowa Kirin, Enterra Medical, and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Naturex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gives lectures for Lilly, Medtronic, Laborie, Kyowa Kirin, Enterra Medical, and Coloplast, and has a contract from Dr. Falk. C. Desprez, M.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Queralto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V.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Vitton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I. </w:t>
      </w:r>
      <w:proofErr w:type="spellStart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Etienney</w:t>
      </w:r>
      <w:proofErr w:type="spellEnd"/>
      <w:r w:rsidRPr="00CB654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, J. Philip, C. Brochard, and E. Lacroix have no conflicts of interest. Gene Bourgeau proofread the manuscript and corrected the English.</w:t>
      </w:r>
    </w:p>
    <w:p w14:paraId="22CA6B7B" w14:textId="77777777" w:rsidR="00CB6546" w:rsidRPr="007F66A6" w:rsidRDefault="00CB6546" w:rsidP="00CD3FB6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0153CA5D" w14:textId="77777777" w:rsidR="007F66A6" w:rsidRDefault="007F66A6"/>
    <w:sectPr w:rsidR="007F6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704"/>
    <w:multiLevelType w:val="multilevel"/>
    <w:tmpl w:val="8A4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E30"/>
    <w:multiLevelType w:val="multilevel"/>
    <w:tmpl w:val="C72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71ADA"/>
    <w:multiLevelType w:val="multilevel"/>
    <w:tmpl w:val="AA3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54EA"/>
    <w:multiLevelType w:val="multilevel"/>
    <w:tmpl w:val="C3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F71A6"/>
    <w:multiLevelType w:val="multilevel"/>
    <w:tmpl w:val="9B9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106FA"/>
    <w:multiLevelType w:val="multilevel"/>
    <w:tmpl w:val="CFF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B3611"/>
    <w:multiLevelType w:val="multilevel"/>
    <w:tmpl w:val="E0F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72E3D"/>
    <w:multiLevelType w:val="multilevel"/>
    <w:tmpl w:val="166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C386A"/>
    <w:multiLevelType w:val="multilevel"/>
    <w:tmpl w:val="E7B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038F0"/>
    <w:multiLevelType w:val="multilevel"/>
    <w:tmpl w:val="421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59614">
    <w:abstractNumId w:val="3"/>
  </w:num>
  <w:num w:numId="2" w16cid:durableId="1753038853">
    <w:abstractNumId w:val="9"/>
  </w:num>
  <w:num w:numId="3" w16cid:durableId="983630352">
    <w:abstractNumId w:val="1"/>
  </w:num>
  <w:num w:numId="4" w16cid:durableId="1350712953">
    <w:abstractNumId w:val="6"/>
  </w:num>
  <w:num w:numId="5" w16cid:durableId="1077435138">
    <w:abstractNumId w:val="2"/>
  </w:num>
  <w:num w:numId="6" w16cid:durableId="361707060">
    <w:abstractNumId w:val="8"/>
  </w:num>
  <w:num w:numId="7" w16cid:durableId="3672853">
    <w:abstractNumId w:val="0"/>
  </w:num>
  <w:num w:numId="8" w16cid:durableId="952907737">
    <w:abstractNumId w:val="7"/>
  </w:num>
  <w:num w:numId="9" w16cid:durableId="967127639">
    <w:abstractNumId w:val="4"/>
  </w:num>
  <w:num w:numId="10" w16cid:durableId="171777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A6"/>
    <w:rsid w:val="002C41A0"/>
    <w:rsid w:val="004C2BC6"/>
    <w:rsid w:val="004F4BBD"/>
    <w:rsid w:val="00711839"/>
    <w:rsid w:val="007F66A6"/>
    <w:rsid w:val="008707C4"/>
    <w:rsid w:val="00C5264A"/>
    <w:rsid w:val="00CB6546"/>
    <w:rsid w:val="00CD3FB6"/>
    <w:rsid w:val="00E3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9C45"/>
  <w15:chartTrackingRefBased/>
  <w15:docId w15:val="{8FFD4CF4-B163-4197-A98D-72623C5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7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104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3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21467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8958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31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0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39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20161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14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4562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9932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6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4387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3541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9781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2084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0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12257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9450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118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11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16354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8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5960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9979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606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741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9974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7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30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83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5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8360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9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41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83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14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Brochard/Charl%C3%A8ne" TargetMode="External"/><Relationship Id="rId13" Type="http://schemas.openxmlformats.org/officeDocument/2006/relationships/hyperlink" Target="https://onlinelibrary.wiley.com/authored-by/Mion/Francois" TargetMode="External"/><Relationship Id="rId18" Type="http://schemas.openxmlformats.org/officeDocument/2006/relationships/hyperlink" Target="https://onlinelibrary.wiley.com/doi/full/10.1111/nmo.7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authored-by/Desprez/Charlotte" TargetMode="External"/><Relationship Id="rId12" Type="http://schemas.openxmlformats.org/officeDocument/2006/relationships/hyperlink" Target="https://onlinelibrary.wiley.com/authored-by/Amarenco/G%C3%A9rard" TargetMode="External"/><Relationship Id="rId17" Type="http://schemas.openxmlformats.org/officeDocument/2006/relationships/hyperlink" Target="https://doi.org/10.1111/nmo.70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doi/10.1111/nmo.700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nlinelibrary.wiley.com/authored-by/Zerbib/Frank" TargetMode="External"/><Relationship Id="rId5" Type="http://schemas.openxmlformats.org/officeDocument/2006/relationships/hyperlink" Target="https://onlinelibrary.wiley.com/journal/13652982" TargetMode="External"/><Relationship Id="rId15" Type="http://schemas.openxmlformats.org/officeDocument/2006/relationships/hyperlink" Target="https://onlinelibrary.wiley.com/authored-by/Gourcerol/Guillaume" TargetMode="External"/><Relationship Id="rId10" Type="http://schemas.openxmlformats.org/officeDocument/2006/relationships/hyperlink" Target="https://onlinelibrary.wiley.com/authored-by/Etienney/Isabell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Vitton/V%C3%A9ronique" TargetMode="External"/><Relationship Id="rId14" Type="http://schemas.openxmlformats.org/officeDocument/2006/relationships/hyperlink" Target="https://onlinelibrary.wiley.com/authored-by/Queralto/Mic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2025-05-02T09:23:00Z</dcterms:created>
  <dcterms:modified xsi:type="dcterms:W3CDTF">2025-05-02T09:23:00Z</dcterms:modified>
</cp:coreProperties>
</file>